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559"/>
        <w:gridCol w:w="1483"/>
        <w:gridCol w:w="1347"/>
        <w:gridCol w:w="1094"/>
        <w:gridCol w:w="1113"/>
        <w:gridCol w:w="1200"/>
      </w:tblGrid>
      <w:tr w:rsidR="00FC73B9" w:rsidRPr="00F13819" w14:paraId="2E030851" w14:textId="77777777" w:rsidTr="00641B0B">
        <w:tc>
          <w:tcPr>
            <w:tcW w:w="9067" w:type="dxa"/>
            <w:gridSpan w:val="7"/>
            <w:shd w:val="clear" w:color="auto" w:fill="92D050"/>
          </w:tcPr>
          <w:p w14:paraId="6BB8DCFF" w14:textId="0E113F05" w:rsidR="00FC73B9" w:rsidRPr="00FC73B9" w:rsidRDefault="00FC73B9" w:rsidP="00641B0B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FC73B9">
              <w:rPr>
                <w:rFonts w:cstheme="minorHAnsi"/>
                <w:b/>
                <w:sz w:val="24"/>
                <w:szCs w:val="24"/>
              </w:rPr>
              <w:t>GÓLNE INFORMACJE DOTYCZĄCE PROJEKTU</w:t>
            </w:r>
          </w:p>
        </w:tc>
      </w:tr>
      <w:tr w:rsidR="006E223B" w:rsidRPr="00F13819" w14:paraId="596963E9" w14:textId="77777777" w:rsidTr="00641B0B">
        <w:tc>
          <w:tcPr>
            <w:tcW w:w="2830" w:type="dxa"/>
            <w:gridSpan w:val="2"/>
            <w:shd w:val="clear" w:color="auto" w:fill="E2EFD9" w:themeFill="accent6" w:themeFillTint="33"/>
          </w:tcPr>
          <w:p w14:paraId="4562D1A2" w14:textId="77777777" w:rsidR="006E223B" w:rsidRPr="00F13819" w:rsidRDefault="006E223B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7B111541" w14:textId="00CCA400" w:rsidR="006E223B" w:rsidRPr="00F13819" w:rsidRDefault="00033179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033179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Rewitalizacja terenów poprze</w:t>
            </w:r>
            <w:r w:rsidR="00641B0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mysłowych dzielnic Szombierki i </w:t>
            </w:r>
            <w:r w:rsidRPr="00033179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Łagiewniki w dolinie rzeki </w:t>
            </w:r>
            <w:proofErr w:type="spellStart"/>
            <w:r w:rsidRPr="00033179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Bytomki</w:t>
            </w:r>
            <w:proofErr w:type="spellEnd"/>
          </w:p>
        </w:tc>
      </w:tr>
      <w:tr w:rsidR="006E223B" w:rsidRPr="00F13819" w14:paraId="281E155D" w14:textId="77777777" w:rsidTr="00641B0B">
        <w:tc>
          <w:tcPr>
            <w:tcW w:w="2830" w:type="dxa"/>
            <w:gridSpan w:val="2"/>
            <w:shd w:val="clear" w:color="auto" w:fill="E2EFD9" w:themeFill="accent6" w:themeFillTint="33"/>
          </w:tcPr>
          <w:p w14:paraId="3B2AC0E1" w14:textId="77777777" w:rsidR="006E223B" w:rsidRPr="00F13819" w:rsidRDefault="006E223B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72364C68" w14:textId="7A2BA845" w:rsidR="006E223B" w:rsidRPr="00F13819" w:rsidRDefault="00641B0B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Bytom – Miasto na prawach powiatu</w:t>
            </w:r>
          </w:p>
        </w:tc>
      </w:tr>
      <w:tr w:rsidR="006E223B" w:rsidRPr="00F13819" w14:paraId="3AEBD1F5" w14:textId="77777777" w:rsidTr="00641B0B">
        <w:tc>
          <w:tcPr>
            <w:tcW w:w="2830" w:type="dxa"/>
            <w:gridSpan w:val="2"/>
            <w:shd w:val="clear" w:color="auto" w:fill="E2EFD9" w:themeFill="accent6" w:themeFillTint="33"/>
          </w:tcPr>
          <w:p w14:paraId="252653B3" w14:textId="77777777" w:rsidR="006E223B" w:rsidRPr="00F13819" w:rsidRDefault="006E223B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4A65B55F" w14:textId="730DF983" w:rsidR="006E223B" w:rsidRPr="00F13819" w:rsidRDefault="00033179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30</w:t>
            </w:r>
            <w:r w:rsidR="006E223B">
              <w:rPr>
                <w:rFonts w:cs="Calibri"/>
                <w:sz w:val="24"/>
                <w:szCs w:val="24"/>
              </w:rPr>
              <w:t> </w:t>
            </w:r>
            <w:r>
              <w:rPr>
                <w:rFonts w:cs="Calibri"/>
                <w:sz w:val="24"/>
                <w:szCs w:val="24"/>
              </w:rPr>
              <w:t>000</w:t>
            </w:r>
            <w:r w:rsidR="006E223B">
              <w:rPr>
                <w:rFonts w:cs="Calibri"/>
                <w:sz w:val="24"/>
                <w:szCs w:val="24"/>
              </w:rPr>
              <w:t> </w:t>
            </w:r>
            <w:r>
              <w:rPr>
                <w:rFonts w:cs="Calibri"/>
                <w:sz w:val="24"/>
                <w:szCs w:val="24"/>
              </w:rPr>
              <w:t>000</w:t>
            </w:r>
            <w:r w:rsidR="006E223B">
              <w:rPr>
                <w:rFonts w:cs="Calibri"/>
                <w:sz w:val="24"/>
                <w:szCs w:val="24"/>
              </w:rPr>
              <w:t xml:space="preserve"> PLN</w:t>
            </w:r>
          </w:p>
        </w:tc>
      </w:tr>
      <w:tr w:rsidR="006E223B" w:rsidRPr="00F13819" w14:paraId="06BE31C3" w14:textId="77777777" w:rsidTr="00641B0B">
        <w:tc>
          <w:tcPr>
            <w:tcW w:w="2830" w:type="dxa"/>
            <w:gridSpan w:val="2"/>
            <w:shd w:val="clear" w:color="auto" w:fill="E2EFD9" w:themeFill="accent6" w:themeFillTint="33"/>
          </w:tcPr>
          <w:p w14:paraId="03E272AF" w14:textId="77777777" w:rsidR="006E223B" w:rsidRPr="00F13819" w:rsidRDefault="006E223B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21564C6A" w14:textId="38A87EE0" w:rsidR="006E223B" w:rsidRPr="00F13819" w:rsidRDefault="00033179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25</w:t>
            </w:r>
            <w:r w:rsidR="006E223B">
              <w:rPr>
                <w:rFonts w:cs="Calibri"/>
                <w:sz w:val="24"/>
                <w:szCs w:val="24"/>
              </w:rPr>
              <w:t> </w:t>
            </w:r>
            <w:r>
              <w:rPr>
                <w:rFonts w:cs="Calibri"/>
                <w:sz w:val="24"/>
                <w:szCs w:val="24"/>
              </w:rPr>
              <w:t>500</w:t>
            </w:r>
            <w:r w:rsidR="006E223B">
              <w:rPr>
                <w:rFonts w:cs="Calibri"/>
                <w:sz w:val="24"/>
                <w:szCs w:val="24"/>
              </w:rPr>
              <w:t xml:space="preserve"> 0</w:t>
            </w:r>
            <w:r>
              <w:rPr>
                <w:rFonts w:cs="Calibri"/>
                <w:sz w:val="24"/>
                <w:szCs w:val="24"/>
              </w:rPr>
              <w:t>00</w:t>
            </w:r>
            <w:r w:rsidR="006E223B">
              <w:rPr>
                <w:rFonts w:cs="Calibri"/>
                <w:sz w:val="24"/>
                <w:szCs w:val="24"/>
              </w:rPr>
              <w:t xml:space="preserve"> PLN</w:t>
            </w:r>
          </w:p>
        </w:tc>
      </w:tr>
      <w:tr w:rsidR="006E223B" w:rsidRPr="00F13819" w14:paraId="07C024EB" w14:textId="77777777" w:rsidTr="00641B0B">
        <w:tc>
          <w:tcPr>
            <w:tcW w:w="2830" w:type="dxa"/>
            <w:gridSpan w:val="2"/>
            <w:shd w:val="clear" w:color="auto" w:fill="E2EFD9" w:themeFill="accent6" w:themeFillTint="33"/>
          </w:tcPr>
          <w:p w14:paraId="4987C29B" w14:textId="77777777" w:rsidR="006E223B" w:rsidRPr="00F13819" w:rsidRDefault="006E223B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78419A0F" w14:textId="48C6C721" w:rsidR="006E223B" w:rsidRPr="00F13819" w:rsidRDefault="006E223B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201</w:t>
            </w:r>
            <w:r w:rsidR="00033179">
              <w:rPr>
                <w:rFonts w:cs="Calibri"/>
                <w:sz w:val="24"/>
                <w:szCs w:val="24"/>
              </w:rPr>
              <w:t>6</w:t>
            </w:r>
            <w:r>
              <w:rPr>
                <w:rFonts w:cs="Calibri"/>
                <w:sz w:val="24"/>
                <w:szCs w:val="24"/>
              </w:rPr>
              <w:t>-0</w:t>
            </w:r>
            <w:r w:rsidR="00033179">
              <w:rPr>
                <w:rFonts w:cs="Calibri"/>
                <w:sz w:val="24"/>
                <w:szCs w:val="24"/>
              </w:rPr>
              <w:t>2</w:t>
            </w:r>
            <w:r>
              <w:rPr>
                <w:rFonts w:cs="Calibri"/>
                <w:sz w:val="24"/>
                <w:szCs w:val="24"/>
              </w:rPr>
              <w:t>-0</w:t>
            </w:r>
            <w:r w:rsidR="00033179">
              <w:rPr>
                <w:rFonts w:cs="Calibri"/>
                <w:sz w:val="24"/>
                <w:szCs w:val="24"/>
              </w:rPr>
              <w:t>3</w:t>
            </w:r>
            <w:r>
              <w:rPr>
                <w:rFonts w:cs="Calibri"/>
                <w:sz w:val="24"/>
                <w:szCs w:val="24"/>
              </w:rPr>
              <w:t xml:space="preserve"> do 201</w:t>
            </w:r>
            <w:r w:rsidR="008D6DDF">
              <w:rPr>
                <w:rFonts w:cs="Calibri"/>
                <w:sz w:val="24"/>
                <w:szCs w:val="24"/>
              </w:rPr>
              <w:t>9</w:t>
            </w:r>
            <w:r>
              <w:rPr>
                <w:rFonts w:cs="Calibri"/>
                <w:sz w:val="24"/>
                <w:szCs w:val="24"/>
              </w:rPr>
              <w:t>-</w:t>
            </w:r>
            <w:r w:rsidR="00060844">
              <w:rPr>
                <w:rFonts w:cs="Calibri"/>
                <w:sz w:val="24"/>
                <w:szCs w:val="24"/>
              </w:rPr>
              <w:t>07</w:t>
            </w:r>
            <w:r>
              <w:rPr>
                <w:rFonts w:cs="Calibri"/>
                <w:sz w:val="24"/>
                <w:szCs w:val="24"/>
              </w:rPr>
              <w:t>-</w:t>
            </w:r>
            <w:r w:rsidR="00060844">
              <w:rPr>
                <w:rFonts w:cs="Calibri"/>
                <w:sz w:val="24"/>
                <w:szCs w:val="24"/>
              </w:rPr>
              <w:t>12</w:t>
            </w:r>
          </w:p>
        </w:tc>
      </w:tr>
      <w:tr w:rsidR="00FC73B9" w:rsidRPr="00F13819" w14:paraId="643D6273" w14:textId="77777777" w:rsidTr="00641B0B">
        <w:tc>
          <w:tcPr>
            <w:tcW w:w="9067" w:type="dxa"/>
            <w:gridSpan w:val="7"/>
            <w:shd w:val="clear" w:color="auto" w:fill="92D050"/>
          </w:tcPr>
          <w:p w14:paraId="7154FB66" w14:textId="46AB60A2" w:rsidR="00FC73B9" w:rsidRPr="00641B0B" w:rsidRDefault="00FC73B9" w:rsidP="00641B0B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641B0B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641B0B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F13819" w14:paraId="09139683" w14:textId="77777777" w:rsidTr="00641B0B">
        <w:tc>
          <w:tcPr>
            <w:tcW w:w="9067" w:type="dxa"/>
            <w:gridSpan w:val="7"/>
            <w:shd w:val="clear" w:color="auto" w:fill="FFFFFF" w:themeFill="background1"/>
          </w:tcPr>
          <w:p w14:paraId="21F6D349" w14:textId="77777777" w:rsidR="000001B4" w:rsidRDefault="000001B4" w:rsidP="00641B0B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SYNTEZA:</w:t>
            </w:r>
          </w:p>
          <w:p w14:paraId="15145484" w14:textId="7AD5FE62" w:rsidR="009B30BA" w:rsidRPr="00256D19" w:rsidRDefault="009B30BA" w:rsidP="00641B0B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56D19">
              <w:rPr>
                <w:rFonts w:cstheme="minorHAnsi"/>
                <w:sz w:val="24"/>
                <w:szCs w:val="24"/>
              </w:rPr>
              <w:t xml:space="preserve">Projekt </w:t>
            </w:r>
            <w:r w:rsidR="00354C1E" w:rsidRPr="00256D19">
              <w:rPr>
                <w:rFonts w:cstheme="minorHAnsi"/>
                <w:sz w:val="24"/>
                <w:szCs w:val="24"/>
              </w:rPr>
              <w:t xml:space="preserve">obejmuje </w:t>
            </w:r>
            <w:r w:rsidR="00895A95">
              <w:rPr>
                <w:rFonts w:cstheme="minorHAnsi"/>
                <w:sz w:val="24"/>
                <w:szCs w:val="24"/>
              </w:rPr>
              <w:t xml:space="preserve">rewitalizację terenów poprzemysłowych w dolinie rzeki </w:t>
            </w:r>
            <w:proofErr w:type="spellStart"/>
            <w:r w:rsidR="00895A95">
              <w:rPr>
                <w:rFonts w:cstheme="minorHAnsi"/>
                <w:sz w:val="24"/>
                <w:szCs w:val="24"/>
              </w:rPr>
              <w:t>Bytomki</w:t>
            </w:r>
            <w:proofErr w:type="spellEnd"/>
            <w:r w:rsidR="00895A95">
              <w:rPr>
                <w:rFonts w:cstheme="minorHAnsi"/>
                <w:sz w:val="24"/>
                <w:szCs w:val="24"/>
              </w:rPr>
              <w:t xml:space="preserve">. </w:t>
            </w:r>
            <w:r w:rsidR="00256D19" w:rsidRPr="00256D1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7FAF9E2" w14:textId="77777777" w:rsidR="000001B4" w:rsidRDefault="000001B4" w:rsidP="00641B0B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SZERSZY OPIS:</w:t>
            </w:r>
          </w:p>
          <w:p w14:paraId="7293A035" w14:textId="56480591" w:rsidR="00847684" w:rsidRPr="00895A95" w:rsidRDefault="00033179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95A95">
              <w:rPr>
                <w:rFonts w:cstheme="minorHAnsi"/>
                <w:sz w:val="24"/>
                <w:szCs w:val="24"/>
              </w:rPr>
              <w:t xml:space="preserve">Projekt zlokalizowany jest w województwie śląskim, w obszarze funkcjonalnym miasta Bytomia w dzielnicach Łagiewniki i Szombierki, przy granicy z Zabrzem i Świętochłowicami, wzdłuż przepływającej rzeki </w:t>
            </w:r>
            <w:proofErr w:type="spellStart"/>
            <w:r w:rsidRPr="00895A95">
              <w:rPr>
                <w:rFonts w:cstheme="minorHAnsi"/>
                <w:sz w:val="24"/>
                <w:szCs w:val="24"/>
              </w:rPr>
              <w:t>Bytomki</w:t>
            </w:r>
            <w:proofErr w:type="spellEnd"/>
            <w:r w:rsidRPr="00895A95">
              <w:rPr>
                <w:rFonts w:cstheme="minorHAnsi"/>
                <w:sz w:val="24"/>
                <w:szCs w:val="24"/>
              </w:rPr>
              <w:t>. Teren graniczy z obszarami wcześniej zrewitalizowanymi, w tym w kierunku rekreacyjnym: polami golfowymi, ścieżkami pieszymi i rowerowymi oraz terenami mieszkalnymi, a w szczególności położonym na sąsiedniej działce i wpisanym do rejestru zabytków obszarem mieszkaniowym Kolonia Zgorzelec. Obszar przedsięwzięcia stanowią grunty niezabudowane i niezagospodarowane, zdegradowane pod względem środowiskowym i wymagające rekultywacji oraz trwale zaniedbane.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W części południowej znajduje się zagłębienie terenu sięgające 10 m, będące pozostałością po hucie Zygmunt. Obszar łącznie ma powierzchnię 29,44 ha. </w:t>
            </w:r>
            <w:r w:rsidR="00847684" w:rsidRPr="00895A95">
              <w:rPr>
                <w:rFonts w:cstheme="minorHAnsi"/>
                <w:sz w:val="24"/>
                <w:szCs w:val="24"/>
              </w:rPr>
              <w:t>Działalność huty Zygmunt, płytka eksploatacja węgla oraz rud cynku i ołowiu doprowadziła do deformacji</w:t>
            </w:r>
            <w:r w:rsidR="0064727A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="00847684" w:rsidRPr="00895A95">
              <w:rPr>
                <w:rFonts w:cstheme="minorHAnsi"/>
                <w:sz w:val="24"/>
                <w:szCs w:val="24"/>
              </w:rPr>
              <w:t>powierzchni terenu. Negatywny wpływ na rzeźbę terenu miała również podziemna eksploatacja węgla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="00847684" w:rsidRPr="00895A95">
              <w:rPr>
                <w:rFonts w:cstheme="minorHAnsi"/>
                <w:sz w:val="24"/>
                <w:szCs w:val="24"/>
              </w:rPr>
              <w:t>kamiennego przez zlikwidowaną kopalnię KWK Szombierki. Działalność przemysłowa na tych terenach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="00847684" w:rsidRPr="00895A95">
              <w:rPr>
                <w:rFonts w:cstheme="minorHAnsi"/>
                <w:sz w:val="24"/>
                <w:szCs w:val="24"/>
              </w:rPr>
              <w:t>doprowadziła do przekroczenia wartości dopuszczalnych metali ciężkich (cynk, kadm, ołów) dla terenów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="00847684" w:rsidRPr="00895A95">
              <w:rPr>
                <w:rFonts w:cstheme="minorHAnsi"/>
                <w:sz w:val="24"/>
                <w:szCs w:val="24"/>
              </w:rPr>
              <w:t>przemysłowych na całym terenie objętym projektem zgodnie z dokumentacją geologiczno</w:t>
            </w:r>
            <w:r w:rsidR="00C33A57">
              <w:rPr>
                <w:rFonts w:cstheme="minorHAnsi"/>
                <w:sz w:val="24"/>
                <w:szCs w:val="24"/>
              </w:rPr>
              <w:t>-</w:t>
            </w:r>
            <w:r w:rsidR="00847684" w:rsidRPr="00895A95">
              <w:rPr>
                <w:rFonts w:cstheme="minorHAnsi"/>
                <w:sz w:val="24"/>
                <w:szCs w:val="24"/>
              </w:rPr>
              <w:t>inżynierską,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="00847684" w:rsidRPr="00895A95">
              <w:rPr>
                <w:rFonts w:cstheme="minorHAnsi"/>
                <w:sz w:val="24"/>
                <w:szCs w:val="24"/>
              </w:rPr>
              <w:t>stwarzając zagrożenia dla zdrowia ludzi i środowiska.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="00847684" w:rsidRPr="00895A95">
              <w:rPr>
                <w:rFonts w:cstheme="minorHAnsi"/>
                <w:sz w:val="24"/>
                <w:szCs w:val="24"/>
              </w:rPr>
              <w:t xml:space="preserve">Charakter zanieczyszczeń oraz warunki gruntowo-wodne, w tym przepływająca rzeka </w:t>
            </w:r>
            <w:proofErr w:type="spellStart"/>
            <w:r w:rsidR="00847684" w:rsidRPr="00895A95">
              <w:rPr>
                <w:rFonts w:cstheme="minorHAnsi"/>
                <w:sz w:val="24"/>
                <w:szCs w:val="24"/>
              </w:rPr>
              <w:t>Bytomka</w:t>
            </w:r>
            <w:proofErr w:type="spellEnd"/>
            <w:r w:rsidR="00C33A57">
              <w:rPr>
                <w:rFonts w:cstheme="minorHAnsi"/>
                <w:sz w:val="24"/>
                <w:szCs w:val="24"/>
              </w:rPr>
              <w:t>,</w:t>
            </w:r>
            <w:r w:rsidR="00847684" w:rsidRPr="00895A95">
              <w:rPr>
                <w:rFonts w:cstheme="minorHAnsi"/>
                <w:sz w:val="24"/>
                <w:szCs w:val="24"/>
              </w:rPr>
              <w:t xml:space="preserve"> wpływają na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="00847684" w:rsidRPr="00895A95">
              <w:rPr>
                <w:rFonts w:cstheme="minorHAnsi"/>
                <w:sz w:val="24"/>
                <w:szCs w:val="24"/>
              </w:rPr>
              <w:t>możliwość ich rozprzestrzeniania.</w:t>
            </w:r>
          </w:p>
          <w:p w14:paraId="4CD100AC" w14:textId="7643682A" w:rsidR="00302BEF" w:rsidRPr="00A80692" w:rsidRDefault="00847684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95A95">
              <w:rPr>
                <w:rFonts w:cstheme="minorHAnsi"/>
                <w:sz w:val="24"/>
                <w:szCs w:val="24"/>
              </w:rPr>
              <w:t>W zakresie infrastrukturalnym przedmiotem projektu jest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="00641B0B">
              <w:rPr>
                <w:rFonts w:cstheme="minorHAnsi"/>
                <w:sz w:val="24"/>
                <w:szCs w:val="24"/>
              </w:rPr>
              <w:t>rekultywacja techniczna i </w:t>
            </w:r>
            <w:r w:rsidRPr="00895A95">
              <w:rPr>
                <w:rFonts w:cstheme="minorHAnsi"/>
                <w:sz w:val="24"/>
                <w:szCs w:val="24"/>
              </w:rPr>
              <w:t>biologiczna terenu o pow. 29,44 ha obejmująca roboty ziemne, makroniwelację, profilowanie terenu, wypełnienie terenu – budowa nasypu,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Pr="00895A95">
              <w:rPr>
                <w:rFonts w:cstheme="minorHAnsi"/>
                <w:sz w:val="24"/>
                <w:szCs w:val="24"/>
              </w:rPr>
              <w:t>umocnienie skarp i osuwisk oraz zagęszczenie terenu przed docelowym zagospodarowaniem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, </w:t>
            </w:r>
            <w:r w:rsidRPr="00895A95">
              <w:rPr>
                <w:rFonts w:cstheme="minorHAnsi"/>
                <w:sz w:val="24"/>
                <w:szCs w:val="24"/>
              </w:rPr>
              <w:t>zadrzewienia, zakrzewienia i</w:t>
            </w:r>
            <w:r w:rsidR="006777AD">
              <w:rPr>
                <w:rFonts w:cstheme="minorHAnsi"/>
                <w:sz w:val="24"/>
                <w:szCs w:val="24"/>
              </w:rPr>
              <w:t> </w:t>
            </w:r>
            <w:proofErr w:type="spellStart"/>
            <w:r w:rsidRPr="00895A95">
              <w:rPr>
                <w:rFonts w:cstheme="minorHAnsi"/>
                <w:sz w:val="24"/>
                <w:szCs w:val="24"/>
              </w:rPr>
              <w:t>zatrawienia</w:t>
            </w:r>
            <w:proofErr w:type="spellEnd"/>
            <w:r w:rsidRPr="00895A95">
              <w:rPr>
                <w:rFonts w:cstheme="minorHAnsi"/>
                <w:sz w:val="24"/>
                <w:szCs w:val="24"/>
              </w:rPr>
              <w:t>, wraz z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ś</w:t>
            </w:r>
            <w:r w:rsidRPr="00895A95">
              <w:rPr>
                <w:rFonts w:cstheme="minorHAnsi"/>
                <w:sz w:val="24"/>
                <w:szCs w:val="24"/>
              </w:rPr>
              <w:t>cieżkami pieszymi z bezkolizyjnym przejściem nad ścieżką rowerową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, </w:t>
            </w:r>
            <w:r w:rsidRPr="00895A95">
              <w:rPr>
                <w:rFonts w:cstheme="minorHAnsi"/>
                <w:sz w:val="24"/>
                <w:szCs w:val="24"/>
              </w:rPr>
              <w:lastRenderedPageBreak/>
              <w:t>dojazdami i dojściami z niezbędnym oświetleniem i miejscami postojowymi umożliwiającymi korzystanie z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 </w:t>
            </w:r>
            <w:r w:rsidRPr="00895A95">
              <w:rPr>
                <w:rFonts w:cstheme="minorHAnsi"/>
                <w:sz w:val="24"/>
                <w:szCs w:val="24"/>
              </w:rPr>
              <w:t>terenu objętego działaniami rekultywacyjnymi</w:t>
            </w:r>
            <w:r w:rsidR="00895A95" w:rsidRPr="00895A95">
              <w:rPr>
                <w:rFonts w:cstheme="minorHAnsi"/>
                <w:sz w:val="24"/>
                <w:szCs w:val="24"/>
              </w:rPr>
              <w:t xml:space="preserve">, </w:t>
            </w:r>
            <w:r w:rsidRPr="00895A95">
              <w:rPr>
                <w:rFonts w:cstheme="minorHAnsi"/>
                <w:sz w:val="24"/>
                <w:szCs w:val="24"/>
              </w:rPr>
              <w:t>budowa elementów dodatkowych w postaci infrastruktury sportowej</w:t>
            </w:r>
            <w:r w:rsidR="00B52432">
              <w:rPr>
                <w:rFonts w:cstheme="minorHAnsi"/>
                <w:sz w:val="24"/>
                <w:szCs w:val="24"/>
              </w:rPr>
              <w:t>.</w:t>
            </w:r>
            <w:r w:rsidR="00302BEF" w:rsidRPr="00033179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</w:tc>
      </w:tr>
      <w:tr w:rsidR="00F55454" w:rsidRPr="00641B0B" w14:paraId="066D6220" w14:textId="77777777" w:rsidTr="00641B0B">
        <w:tc>
          <w:tcPr>
            <w:tcW w:w="9067" w:type="dxa"/>
            <w:gridSpan w:val="7"/>
            <w:shd w:val="clear" w:color="auto" w:fill="92D050"/>
          </w:tcPr>
          <w:p w14:paraId="427F855D" w14:textId="77777777" w:rsidR="00F55454" w:rsidRPr="00641B0B" w:rsidRDefault="00F55454" w:rsidP="00413FBB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641B0B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14:paraId="312C2AA9" w14:textId="37A6FB12" w:rsidR="00F55454" w:rsidRPr="00641B0B" w:rsidRDefault="00F55454" w:rsidP="00641B0B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641B0B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641B0B" w14:paraId="1DB419E9" w14:textId="77777777" w:rsidTr="00060844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14:paraId="2D5A191A" w14:textId="1BFAC1AD" w:rsidR="00F55454" w:rsidRPr="00641B0B" w:rsidRDefault="00F55454" w:rsidP="00641B0B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641B0B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3042" w:type="dxa"/>
            <w:gridSpan w:val="2"/>
            <w:shd w:val="clear" w:color="auto" w:fill="E2EFD9" w:themeFill="accent6" w:themeFillTint="33"/>
          </w:tcPr>
          <w:p w14:paraId="7481CC1D" w14:textId="77777777" w:rsidR="00F55454" w:rsidRPr="00641B0B" w:rsidRDefault="00F55454" w:rsidP="00641B0B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641B0B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280744A" w14:textId="758CFD89" w:rsidR="00F55454" w:rsidRPr="00641B0B" w:rsidRDefault="00060844" w:rsidP="00641B0B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4C37D57" w14:textId="77777777" w:rsidR="00060844" w:rsidRPr="004D28D0" w:rsidRDefault="00060844" w:rsidP="00060844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14:paraId="073F22CD" w14:textId="77777777" w:rsidR="00F55454" w:rsidRPr="00641B0B" w:rsidRDefault="00F55454" w:rsidP="00641B0B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113" w:type="dxa"/>
            <w:shd w:val="clear" w:color="auto" w:fill="E2EFD9" w:themeFill="accent6" w:themeFillTint="33"/>
          </w:tcPr>
          <w:p w14:paraId="1C26B3F8" w14:textId="14508484" w:rsidR="00F55454" w:rsidRPr="00641B0B" w:rsidRDefault="00060844" w:rsidP="00641B0B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200" w:type="dxa"/>
            <w:shd w:val="clear" w:color="auto" w:fill="E2EFD9" w:themeFill="accent6" w:themeFillTint="33"/>
          </w:tcPr>
          <w:p w14:paraId="55D06DBC" w14:textId="5409CDD0" w:rsidR="00060844" w:rsidRDefault="00060844" w:rsidP="00641B0B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</w:t>
            </w:r>
            <w:r w:rsidR="006430C5">
              <w:rPr>
                <w:rFonts w:cstheme="minorHAnsi"/>
                <w:b/>
                <w:sz w:val="20"/>
                <w:szCs w:val="24"/>
              </w:rPr>
              <w:t>projekcie</w:t>
            </w:r>
            <w:r>
              <w:rPr>
                <w:rFonts w:cstheme="minorHAnsi"/>
                <w:b/>
                <w:sz w:val="20"/>
                <w:szCs w:val="24"/>
              </w:rPr>
              <w:t xml:space="preserve">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  <w:p w14:paraId="13D2EBFE" w14:textId="29A930C7" w:rsidR="00F55454" w:rsidRPr="00641B0B" w:rsidRDefault="00F55454" w:rsidP="00641B0B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6E223B" w:rsidRPr="00641B0B" w14:paraId="6DCF32A2" w14:textId="77777777" w:rsidTr="00060844">
        <w:tc>
          <w:tcPr>
            <w:tcW w:w="1271" w:type="dxa"/>
          </w:tcPr>
          <w:p w14:paraId="2152C0AF" w14:textId="77777777" w:rsidR="006E223B" w:rsidRPr="00641B0B" w:rsidRDefault="006E223B" w:rsidP="00641B0B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PRODUKT POIiŚ</w:t>
            </w:r>
          </w:p>
        </w:tc>
        <w:tc>
          <w:tcPr>
            <w:tcW w:w="3042" w:type="dxa"/>
            <w:gridSpan w:val="2"/>
          </w:tcPr>
          <w:p w14:paraId="7EB6C686" w14:textId="451B607E" w:rsidR="006E223B" w:rsidRPr="00641B0B" w:rsidRDefault="0049000C" w:rsidP="00641B0B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Łączna powierzchnia zre</w:t>
            </w:r>
            <w:r w:rsidR="008C6750" w:rsidRPr="00641B0B">
              <w:rPr>
                <w:rFonts w:cstheme="minorHAnsi"/>
                <w:szCs w:val="24"/>
              </w:rPr>
              <w:t>kultywowanych gruntów [ha] (Cl 22)</w:t>
            </w:r>
          </w:p>
        </w:tc>
        <w:tc>
          <w:tcPr>
            <w:tcW w:w="1347" w:type="dxa"/>
            <w:shd w:val="clear" w:color="auto" w:fill="auto"/>
          </w:tcPr>
          <w:p w14:paraId="44EAF16C" w14:textId="7E1F9D87" w:rsidR="006E223B" w:rsidRPr="00641B0B" w:rsidRDefault="0051784C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  <w:r w:rsidR="008C6750" w:rsidRPr="00641B0B">
              <w:rPr>
                <w:rFonts w:cstheme="minorHAnsi"/>
                <w:szCs w:val="24"/>
              </w:rPr>
              <w:t>00</w:t>
            </w:r>
          </w:p>
        </w:tc>
        <w:tc>
          <w:tcPr>
            <w:tcW w:w="1094" w:type="dxa"/>
            <w:shd w:val="clear" w:color="auto" w:fill="auto"/>
          </w:tcPr>
          <w:p w14:paraId="043CA80F" w14:textId="1C2126DA" w:rsidR="006E223B" w:rsidRPr="00641B0B" w:rsidRDefault="00487486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29</w:t>
            </w:r>
            <w:bookmarkStart w:id="0" w:name="_GoBack"/>
            <w:bookmarkEnd w:id="0"/>
            <w:r w:rsidR="008C6750" w:rsidRPr="00641B0B">
              <w:rPr>
                <w:rFonts w:cstheme="minorHAnsi"/>
                <w:szCs w:val="24"/>
              </w:rPr>
              <w:t>,</w:t>
            </w:r>
            <w:r w:rsidRPr="00641B0B">
              <w:rPr>
                <w:rFonts w:cstheme="minorHAnsi"/>
                <w:szCs w:val="24"/>
              </w:rPr>
              <w:t>44</w:t>
            </w:r>
          </w:p>
        </w:tc>
        <w:tc>
          <w:tcPr>
            <w:tcW w:w="1113" w:type="dxa"/>
            <w:shd w:val="clear" w:color="auto" w:fill="auto"/>
          </w:tcPr>
          <w:p w14:paraId="2608098A" w14:textId="173507EA" w:rsidR="006E223B" w:rsidRPr="00641B0B" w:rsidRDefault="0051784C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29</w:t>
            </w:r>
            <w:r w:rsidR="006E223B" w:rsidRPr="00641B0B">
              <w:rPr>
                <w:rFonts w:cstheme="minorHAnsi"/>
                <w:szCs w:val="24"/>
              </w:rPr>
              <w:t>,</w:t>
            </w:r>
            <w:r>
              <w:rPr>
                <w:rFonts w:cstheme="minorHAnsi"/>
                <w:szCs w:val="24"/>
              </w:rPr>
              <w:t>44</w:t>
            </w:r>
            <w:r w:rsidR="006E223B" w:rsidRPr="00641B0B">
              <w:rPr>
                <w:rFonts w:cstheme="minorHAnsi"/>
                <w:szCs w:val="24"/>
              </w:rPr>
              <w:t>%</w:t>
            </w:r>
          </w:p>
        </w:tc>
        <w:tc>
          <w:tcPr>
            <w:tcW w:w="1200" w:type="dxa"/>
            <w:shd w:val="clear" w:color="auto" w:fill="auto"/>
          </w:tcPr>
          <w:p w14:paraId="1D62AE8E" w14:textId="1FBB7AE4" w:rsidR="006E223B" w:rsidRPr="00641B0B" w:rsidRDefault="006E223B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0</w:t>
            </w:r>
            <w:r w:rsidR="00FE35D5">
              <w:rPr>
                <w:rStyle w:val="Odwoanieprzypisudolnego"/>
                <w:rFonts w:cstheme="minorHAnsi"/>
                <w:szCs w:val="24"/>
              </w:rPr>
              <w:footnoteReference w:id="2"/>
            </w:r>
          </w:p>
        </w:tc>
      </w:tr>
      <w:tr w:rsidR="006E223B" w:rsidRPr="00641B0B" w14:paraId="0EA56A28" w14:textId="77777777" w:rsidTr="00060844">
        <w:tc>
          <w:tcPr>
            <w:tcW w:w="1271" w:type="dxa"/>
          </w:tcPr>
          <w:p w14:paraId="61E1404C" w14:textId="77777777" w:rsidR="006E223B" w:rsidRPr="00641B0B" w:rsidRDefault="006E223B" w:rsidP="00641B0B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3042" w:type="dxa"/>
            <w:gridSpan w:val="2"/>
          </w:tcPr>
          <w:p w14:paraId="196C8DA3" w14:textId="5AC10AD2" w:rsidR="006E223B" w:rsidRPr="00641B0B" w:rsidRDefault="008C6750" w:rsidP="00641B0B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Liczba obiektów dostosowanych do potrzeb osób z niepełnosprawności</w:t>
            </w:r>
            <w:r w:rsidR="00060844">
              <w:rPr>
                <w:rFonts w:cstheme="minorHAnsi"/>
                <w:szCs w:val="24"/>
              </w:rPr>
              <w:t>ami</w:t>
            </w:r>
            <w:r w:rsidR="006E223B" w:rsidRPr="00641B0B">
              <w:rPr>
                <w:rFonts w:cstheme="minorHAnsi"/>
                <w:szCs w:val="24"/>
              </w:rPr>
              <w:t xml:space="preserve"> </w:t>
            </w:r>
            <w:r w:rsidRPr="00641B0B">
              <w:rPr>
                <w:rFonts w:cstheme="minorHAnsi"/>
                <w:szCs w:val="24"/>
              </w:rPr>
              <w:t>[</w:t>
            </w:r>
            <w:r w:rsidR="006E223B" w:rsidRPr="00641B0B">
              <w:rPr>
                <w:rFonts w:cstheme="minorHAnsi"/>
                <w:szCs w:val="24"/>
              </w:rPr>
              <w:t>szt.</w:t>
            </w:r>
            <w:r w:rsidRPr="00641B0B">
              <w:rPr>
                <w:rFonts w:cstheme="minorHAnsi"/>
                <w:szCs w:val="24"/>
              </w:rPr>
              <w:t>]</w:t>
            </w:r>
          </w:p>
        </w:tc>
        <w:tc>
          <w:tcPr>
            <w:tcW w:w="1347" w:type="dxa"/>
            <w:shd w:val="clear" w:color="auto" w:fill="auto"/>
          </w:tcPr>
          <w:p w14:paraId="74825A83" w14:textId="77777777" w:rsidR="006E223B" w:rsidRPr="00641B0B" w:rsidRDefault="006E223B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094" w:type="dxa"/>
            <w:shd w:val="clear" w:color="auto" w:fill="auto"/>
          </w:tcPr>
          <w:p w14:paraId="47D74B8D" w14:textId="6E63FD13" w:rsidR="006E223B" w:rsidRPr="00641B0B" w:rsidRDefault="0078643C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4</w:t>
            </w:r>
          </w:p>
        </w:tc>
        <w:tc>
          <w:tcPr>
            <w:tcW w:w="1113" w:type="dxa"/>
            <w:shd w:val="clear" w:color="auto" w:fill="auto"/>
          </w:tcPr>
          <w:p w14:paraId="297A32B8" w14:textId="77777777" w:rsidR="006E223B" w:rsidRPr="00641B0B" w:rsidRDefault="006E223B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FF89628" w14:textId="5FFD8AC6" w:rsidR="006E223B" w:rsidRPr="00641B0B" w:rsidRDefault="006E223B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0</w:t>
            </w:r>
          </w:p>
        </w:tc>
      </w:tr>
      <w:tr w:rsidR="006E223B" w:rsidRPr="00641B0B" w14:paraId="6BBF0F78" w14:textId="77777777" w:rsidTr="00060844">
        <w:tc>
          <w:tcPr>
            <w:tcW w:w="1271" w:type="dxa"/>
          </w:tcPr>
          <w:p w14:paraId="7AE62A0A" w14:textId="40300700" w:rsidR="006E223B" w:rsidRPr="00641B0B" w:rsidRDefault="0078643C" w:rsidP="00641B0B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REZULTAT</w:t>
            </w:r>
            <w:r w:rsidR="006E223B" w:rsidRPr="00641B0B">
              <w:rPr>
                <w:rFonts w:cstheme="minorHAnsi"/>
                <w:szCs w:val="24"/>
              </w:rPr>
              <w:t xml:space="preserve"> </w:t>
            </w:r>
            <w:r w:rsidR="008C6750" w:rsidRPr="00641B0B">
              <w:rPr>
                <w:rFonts w:cstheme="minorHAnsi"/>
                <w:szCs w:val="24"/>
              </w:rPr>
              <w:t>SzOOP</w:t>
            </w:r>
          </w:p>
        </w:tc>
        <w:tc>
          <w:tcPr>
            <w:tcW w:w="3042" w:type="dxa"/>
            <w:gridSpan w:val="2"/>
          </w:tcPr>
          <w:p w14:paraId="6AE7B399" w14:textId="2705D577" w:rsidR="006E223B" w:rsidRPr="00641B0B" w:rsidRDefault="008C6750" w:rsidP="00641B0B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Dodatkowa powierzchnia biologicznie czynna uzyskana w wyniku realizacji projektów [ha]</w:t>
            </w:r>
          </w:p>
        </w:tc>
        <w:tc>
          <w:tcPr>
            <w:tcW w:w="1347" w:type="dxa"/>
            <w:shd w:val="clear" w:color="auto" w:fill="auto"/>
          </w:tcPr>
          <w:p w14:paraId="55E1D90F" w14:textId="5E74C630" w:rsidR="006E223B" w:rsidRPr="00641B0B" w:rsidRDefault="008C6750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30</w:t>
            </w:r>
          </w:p>
        </w:tc>
        <w:tc>
          <w:tcPr>
            <w:tcW w:w="1094" w:type="dxa"/>
            <w:shd w:val="clear" w:color="auto" w:fill="auto"/>
          </w:tcPr>
          <w:p w14:paraId="5451049E" w14:textId="6F6274E7" w:rsidR="006E223B" w:rsidRPr="00641B0B" w:rsidRDefault="0078643C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20</w:t>
            </w:r>
            <w:r w:rsidR="008C6750" w:rsidRPr="00641B0B">
              <w:rPr>
                <w:rFonts w:cstheme="minorHAnsi"/>
                <w:szCs w:val="24"/>
              </w:rPr>
              <w:t>,</w:t>
            </w:r>
            <w:r w:rsidRPr="00641B0B">
              <w:rPr>
                <w:rFonts w:cstheme="minorHAnsi"/>
                <w:szCs w:val="24"/>
              </w:rPr>
              <w:t>61</w:t>
            </w:r>
          </w:p>
        </w:tc>
        <w:tc>
          <w:tcPr>
            <w:tcW w:w="1113" w:type="dxa"/>
            <w:shd w:val="clear" w:color="auto" w:fill="auto"/>
          </w:tcPr>
          <w:p w14:paraId="432AF804" w14:textId="54D77D95" w:rsidR="006E223B" w:rsidRPr="00641B0B" w:rsidRDefault="0078643C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69</w:t>
            </w:r>
            <w:r w:rsidR="008C6750" w:rsidRPr="00641B0B">
              <w:rPr>
                <w:rFonts w:cstheme="minorHAnsi"/>
                <w:szCs w:val="24"/>
              </w:rPr>
              <w:t>,00%</w:t>
            </w:r>
          </w:p>
        </w:tc>
        <w:tc>
          <w:tcPr>
            <w:tcW w:w="1200" w:type="dxa"/>
            <w:shd w:val="clear" w:color="auto" w:fill="auto"/>
          </w:tcPr>
          <w:p w14:paraId="62798A64" w14:textId="6E58659E" w:rsidR="006E223B" w:rsidRPr="00641B0B" w:rsidRDefault="006E223B" w:rsidP="00641B0B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641B0B">
              <w:rPr>
                <w:rFonts w:cstheme="minorHAnsi"/>
                <w:szCs w:val="24"/>
              </w:rPr>
              <w:t>0</w:t>
            </w:r>
          </w:p>
        </w:tc>
      </w:tr>
      <w:tr w:rsidR="00745AE0" w:rsidRPr="00641B0B" w14:paraId="2E355D3E" w14:textId="77777777" w:rsidTr="00641B0B">
        <w:tc>
          <w:tcPr>
            <w:tcW w:w="9067" w:type="dxa"/>
            <w:gridSpan w:val="7"/>
            <w:shd w:val="clear" w:color="auto" w:fill="92D050"/>
          </w:tcPr>
          <w:p w14:paraId="4360C2E5" w14:textId="77777777" w:rsidR="00060844" w:rsidRPr="004D28D0" w:rsidRDefault="00060844" w:rsidP="00060844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14:paraId="7221A1E1" w14:textId="77777777" w:rsidR="00060844" w:rsidRPr="004D28D0" w:rsidRDefault="00060844" w:rsidP="00060844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14:paraId="7C7EF978" w14:textId="778E89D6" w:rsidR="002B7A54" w:rsidRPr="00641B0B" w:rsidRDefault="00060844" w:rsidP="00641B0B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Czy można zidentyfikować inne istotne efekty ekologiczne oraz </w:t>
            </w:r>
            <w:proofErr w:type="spellStart"/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</w:t>
            </w:r>
            <w:proofErr w:type="spellEnd"/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lastRenderedPageBreak/>
              <w:t>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mogą być </w:t>
            </w:r>
            <w:r w:rsidR="006430C5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istotne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641B0B" w14:paraId="4767A5AE" w14:textId="77777777" w:rsidTr="00641B0B">
        <w:tc>
          <w:tcPr>
            <w:tcW w:w="9067" w:type="dxa"/>
            <w:gridSpan w:val="7"/>
          </w:tcPr>
          <w:p w14:paraId="5046D5AF" w14:textId="77777777" w:rsidR="002B7A54" w:rsidRPr="00641B0B" w:rsidRDefault="00ED5761" w:rsidP="00641B0B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lastRenderedPageBreak/>
              <w:t>EFEKTY EKOLOGICZNE:</w:t>
            </w:r>
          </w:p>
          <w:p w14:paraId="77EADB86" w14:textId="68D4BA0B" w:rsidR="00B3527A" w:rsidRDefault="00B52432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t xml:space="preserve">Efektami ekologicznymi projektu będą: </w:t>
            </w:r>
            <w:r w:rsidR="00A726D1" w:rsidRPr="00641B0B">
              <w:rPr>
                <w:rFonts w:cstheme="minorHAnsi"/>
                <w:sz w:val="24"/>
                <w:szCs w:val="24"/>
              </w:rPr>
              <w:t>wzrost powierzchni terenów zielonych w Bytomiu</w:t>
            </w:r>
            <w:r w:rsidRPr="00641B0B">
              <w:rPr>
                <w:rFonts w:cstheme="minorHAnsi"/>
                <w:sz w:val="24"/>
                <w:szCs w:val="24"/>
              </w:rPr>
              <w:t xml:space="preserve">, </w:t>
            </w:r>
            <w:r w:rsidR="00A726D1" w:rsidRPr="00641B0B">
              <w:rPr>
                <w:rFonts w:cstheme="minorHAnsi"/>
                <w:sz w:val="24"/>
                <w:szCs w:val="24"/>
              </w:rPr>
              <w:t xml:space="preserve">zmniejszenie powierzchni terenów zdegradowanych </w:t>
            </w:r>
            <w:r w:rsidR="00B3527A" w:rsidRPr="00641B0B">
              <w:rPr>
                <w:rFonts w:cstheme="minorHAnsi"/>
                <w:sz w:val="24"/>
                <w:szCs w:val="24"/>
              </w:rPr>
              <w:t>oraz</w:t>
            </w:r>
            <w:r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="00A726D1" w:rsidRPr="00641B0B">
              <w:rPr>
                <w:rFonts w:cstheme="minorHAnsi"/>
                <w:sz w:val="24"/>
                <w:szCs w:val="24"/>
              </w:rPr>
              <w:t>zmniejszenie zagrożenia zanieczyszczeniami metalami ciężkimi terenów zdegradowanych.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Poprzez wykonane prace ziemne i nasadzenia nowej roślinności nastąpi przywrócenie funkcji przyrodniczych, powstaną nowe ekosystemy, które stworzą krajobraz o celowym zagospodarowaniu oraz poprawią ekologiczne funkcje terenu, w tym nastąpi przywrócenie bioróżnorodności doliny rzeki </w:t>
            </w:r>
            <w:proofErr w:type="spellStart"/>
            <w:r w:rsidR="00B3527A" w:rsidRPr="00641B0B">
              <w:rPr>
                <w:rFonts w:cstheme="minorHAnsi"/>
                <w:sz w:val="24"/>
                <w:szCs w:val="24"/>
              </w:rPr>
              <w:t>Bytomki</w:t>
            </w:r>
            <w:proofErr w:type="spellEnd"/>
            <w:r w:rsidR="00B3527A" w:rsidRPr="00641B0B">
              <w:rPr>
                <w:rFonts w:cstheme="minorHAnsi"/>
                <w:sz w:val="24"/>
                <w:szCs w:val="24"/>
              </w:rPr>
              <w:t xml:space="preserve"> i pozytywny wpływ na stan klimatu w mieście. Przyczyni się to do ochrony środowiska na przedmiotowym terenie i w jego otoczeniu.</w:t>
            </w:r>
          </w:p>
          <w:p w14:paraId="051DDF93" w14:textId="1E978935" w:rsidR="00F430C9" w:rsidRPr="00F430C9" w:rsidRDefault="00F430C9" w:rsidP="00F430C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30C9">
              <w:rPr>
                <w:rFonts w:cstheme="minorHAnsi"/>
                <w:sz w:val="24"/>
                <w:szCs w:val="24"/>
              </w:rPr>
              <w:t xml:space="preserve">Przywracanie zdegradowanym terenom </w:t>
            </w:r>
            <w:r>
              <w:rPr>
                <w:rFonts w:cstheme="minorHAnsi"/>
                <w:sz w:val="24"/>
                <w:szCs w:val="24"/>
              </w:rPr>
              <w:t xml:space="preserve">miejskim </w:t>
            </w:r>
            <w:r w:rsidRPr="00F430C9">
              <w:rPr>
                <w:rFonts w:cstheme="minorHAnsi"/>
                <w:sz w:val="24"/>
                <w:szCs w:val="24"/>
              </w:rPr>
              <w:t>funkcji</w:t>
            </w:r>
            <w:r>
              <w:rPr>
                <w:rFonts w:cstheme="minorHAnsi"/>
                <w:sz w:val="24"/>
                <w:szCs w:val="24"/>
              </w:rPr>
              <w:t xml:space="preserve"> przyrodniczych terenów zielonych </w:t>
            </w:r>
            <w:r w:rsidRPr="00F430C9">
              <w:rPr>
                <w:rFonts w:cstheme="minorHAnsi"/>
                <w:sz w:val="24"/>
                <w:szCs w:val="24"/>
              </w:rPr>
              <w:t>stanowi ważny wkład w realizacj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F430C9">
              <w:rPr>
                <w:rFonts w:cstheme="minorHAnsi"/>
                <w:sz w:val="24"/>
                <w:szCs w:val="24"/>
              </w:rPr>
              <w:t xml:space="preserve"> celów europejskich i krajowych w zakresie ochrony, zachowania i poprawy różnorodności biologiczn</w:t>
            </w:r>
            <w:r>
              <w:rPr>
                <w:rFonts w:cstheme="minorHAnsi"/>
                <w:sz w:val="24"/>
                <w:szCs w:val="24"/>
              </w:rPr>
              <w:t>ej</w:t>
            </w:r>
            <w:r w:rsidRPr="00F430C9">
              <w:rPr>
                <w:rFonts w:cstheme="minorHAnsi"/>
                <w:sz w:val="24"/>
                <w:szCs w:val="24"/>
              </w:rPr>
              <w:t xml:space="preserve">. Projekt obejmuje działania </w:t>
            </w:r>
            <w:proofErr w:type="spellStart"/>
            <w:r w:rsidRPr="00F430C9">
              <w:rPr>
                <w:rFonts w:cstheme="minorHAnsi"/>
                <w:sz w:val="24"/>
                <w:szCs w:val="24"/>
              </w:rPr>
              <w:t>rekutywacyjne</w:t>
            </w:r>
            <w:proofErr w:type="spellEnd"/>
            <w:r w:rsidRPr="00F430C9">
              <w:rPr>
                <w:rFonts w:cstheme="minorHAnsi"/>
                <w:sz w:val="24"/>
                <w:szCs w:val="24"/>
              </w:rPr>
              <w:t xml:space="preserve">, które przyczyniają się co </w:t>
            </w:r>
            <w:proofErr w:type="spellStart"/>
            <w:r w:rsidRPr="00F430C9">
              <w:rPr>
                <w:rFonts w:cstheme="minorHAnsi"/>
                <w:sz w:val="24"/>
                <w:szCs w:val="24"/>
              </w:rPr>
              <w:t>zmiejszenia</w:t>
            </w:r>
            <w:proofErr w:type="spellEnd"/>
            <w:r w:rsidRPr="00F430C9">
              <w:rPr>
                <w:rFonts w:cstheme="minorHAnsi"/>
                <w:sz w:val="24"/>
                <w:szCs w:val="24"/>
              </w:rPr>
              <w:t xml:space="preserve"> presji na grunty i gleby, a nasadzeni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F430C9">
              <w:rPr>
                <w:rFonts w:cstheme="minorHAnsi"/>
                <w:sz w:val="24"/>
                <w:szCs w:val="24"/>
              </w:rPr>
              <w:t xml:space="preserve"> zieleni wpisują się w cele związane ze zmniejszaniem ilości CO</w:t>
            </w:r>
            <w:r w:rsidRPr="00F430C9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F430C9">
              <w:rPr>
                <w:rFonts w:cstheme="minorHAnsi"/>
                <w:sz w:val="24"/>
                <w:szCs w:val="24"/>
              </w:rPr>
              <w:t xml:space="preserve"> oraz poprawą jakości powietrza poprzez asymilację zanieczyszczeń przez nasadzoną roślinność. </w:t>
            </w:r>
          </w:p>
          <w:p w14:paraId="7895DBCC" w14:textId="5673FD9A" w:rsidR="00ED5761" w:rsidRPr="00641B0B" w:rsidRDefault="00ED5761" w:rsidP="00641B0B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t>EFEKTY POZAEKOLOGICZNE:</w:t>
            </w:r>
          </w:p>
          <w:p w14:paraId="78E201BC" w14:textId="0666CA5E" w:rsidR="00C020CE" w:rsidRPr="00641B0B" w:rsidRDefault="00C020CE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t>Zgodnie z deklaracją beneficjenta w wyniku realizacji projektu nastąpi poprawa ładu przestrzennego i wzbogacenie przestrzeni publicznej</w:t>
            </w:r>
            <w:r w:rsidR="003B6410" w:rsidRPr="00641B0B">
              <w:rPr>
                <w:rFonts w:cstheme="minorHAnsi"/>
                <w:sz w:val="24"/>
                <w:szCs w:val="24"/>
              </w:rPr>
              <w:t>,</w:t>
            </w:r>
            <w:r w:rsidRPr="00641B0B">
              <w:rPr>
                <w:rFonts w:cstheme="minorHAnsi"/>
                <w:sz w:val="24"/>
                <w:szCs w:val="24"/>
              </w:rPr>
              <w:t xml:space="preserve"> a także wzrost bezpieczeństwa mieszkańców, który osiągnięty zostanie poprzez wybór właściwych form zagospodarowania terenów poprzemysłowych. </w:t>
            </w:r>
            <w:r w:rsidR="00B3527A" w:rsidRPr="00641B0B">
              <w:rPr>
                <w:rFonts w:cstheme="minorHAnsi"/>
                <w:sz w:val="24"/>
                <w:szCs w:val="24"/>
              </w:rPr>
              <w:t>Teren zacznie pełnić nowe funkcje społeczne, m.in. poprzez udostępnianie go w sposób nieograniczony</w:t>
            </w:r>
            <w:r w:rsidR="00965944" w:rsidRPr="00641B0B">
              <w:rPr>
                <w:rFonts w:cstheme="minorHAnsi"/>
                <w:sz w:val="24"/>
                <w:szCs w:val="24"/>
              </w:rPr>
              <w:t xml:space="preserve">, tj. powstaną w ramach inwestycji ścieżki rowerowe i piesze oraz cztery boiska trawiaste i siłownie napowietrzne, które będą ogólnie dostępne dla mieszkańców miasta Bytomia. </w:t>
            </w:r>
            <w:r w:rsidRPr="00641B0B">
              <w:rPr>
                <w:rFonts w:cstheme="minorHAnsi"/>
                <w:sz w:val="24"/>
                <w:szCs w:val="24"/>
              </w:rPr>
              <w:t>Nastąpi wzmocnienie więzi społecznych mieszkańców i poprawa atrakcyjności zamieszkania. Poprawa lokalnej oferty sportowo</w:t>
            </w:r>
            <w:r w:rsidR="00C33A57">
              <w:rPr>
                <w:rFonts w:cstheme="minorHAnsi"/>
                <w:sz w:val="24"/>
                <w:szCs w:val="24"/>
              </w:rPr>
              <w:t>-</w:t>
            </w:r>
            <w:r w:rsidRPr="00641B0B">
              <w:rPr>
                <w:rFonts w:cstheme="minorHAnsi"/>
                <w:sz w:val="24"/>
                <w:szCs w:val="24"/>
              </w:rPr>
              <w:t xml:space="preserve">rekreacyjnej wpłynie pozytywnie na poprawę możliwości spędzania czasu wolnego oraz psychiczne i fizyczne zdrowie społeczeństwa. Pod kątem gospodarczym nastąpi poprawa atrakcyjności inwestycyjnej miasta i regionu, wzrost cen okolicznych nieruchomości. </w:t>
            </w:r>
            <w:r w:rsidR="00965944" w:rsidRPr="00641B0B">
              <w:rPr>
                <w:rFonts w:cstheme="minorHAnsi"/>
                <w:sz w:val="24"/>
                <w:szCs w:val="24"/>
              </w:rPr>
              <w:t>Dotychczas to były tereny bardzo zdegradowane przez kopalnie rudy, realizacja projektu wprowadza tam infrastrukturę sportowo</w:t>
            </w:r>
            <w:r w:rsidR="00C33A57">
              <w:rPr>
                <w:rFonts w:cstheme="minorHAnsi"/>
                <w:sz w:val="24"/>
                <w:szCs w:val="24"/>
              </w:rPr>
              <w:t>-</w:t>
            </w:r>
            <w:r w:rsidR="00965944" w:rsidRPr="00641B0B">
              <w:rPr>
                <w:rFonts w:cstheme="minorHAnsi"/>
                <w:sz w:val="24"/>
                <w:szCs w:val="24"/>
              </w:rPr>
              <w:t xml:space="preserve"> rekreacyjną i poprawia krajobrazowo teren. </w:t>
            </w:r>
          </w:p>
          <w:p w14:paraId="35E5AE97" w14:textId="64DCD3E7" w:rsidR="003B3124" w:rsidRPr="00641B0B" w:rsidRDefault="00C020CE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t xml:space="preserve">Ponadto na etapie realizacji poprzez nowe miejsca pracy u wykonawcy inwestycji i wzrost obrotu handlowego pomiędzy firmami dostarczającymi materiały do realizacji projektu, </w:t>
            </w:r>
            <w:r w:rsidR="00393CDE">
              <w:rPr>
                <w:rFonts w:cstheme="minorHAnsi"/>
                <w:sz w:val="24"/>
                <w:szCs w:val="24"/>
              </w:rPr>
              <w:t>projekt</w:t>
            </w:r>
            <w:r w:rsidR="00C33A57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pozytywnie wpły</w:t>
            </w:r>
            <w:r w:rsidR="00C33A57">
              <w:rPr>
                <w:rFonts w:cstheme="minorHAnsi"/>
                <w:sz w:val="24"/>
                <w:szCs w:val="24"/>
              </w:rPr>
              <w:t>nie</w:t>
            </w:r>
            <w:r w:rsidRPr="00641B0B">
              <w:rPr>
                <w:rFonts w:cstheme="minorHAnsi"/>
                <w:sz w:val="24"/>
                <w:szCs w:val="24"/>
              </w:rPr>
              <w:t xml:space="preserve"> na konkurencyjność lokalnych firm.</w:t>
            </w:r>
            <w:r w:rsidR="007E4BD2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="003B3124" w:rsidRPr="00641B0B">
              <w:rPr>
                <w:rFonts w:cstheme="minorHAnsi"/>
                <w:sz w:val="24"/>
                <w:szCs w:val="24"/>
              </w:rPr>
              <w:t>Nowe miejsca pracy związane będą z obsługą terenu sportowo</w:t>
            </w:r>
            <w:r w:rsidR="00C33A57">
              <w:rPr>
                <w:rFonts w:cstheme="minorHAnsi"/>
                <w:sz w:val="24"/>
                <w:szCs w:val="24"/>
              </w:rPr>
              <w:t>-</w:t>
            </w:r>
            <w:r w:rsidR="003B3124" w:rsidRPr="00641B0B">
              <w:rPr>
                <w:rFonts w:cstheme="minorHAnsi"/>
                <w:sz w:val="24"/>
                <w:szCs w:val="24"/>
              </w:rPr>
              <w:t xml:space="preserve"> rekreacyjnego. Beneficjent przewiduje 8 etatów.</w:t>
            </w:r>
          </w:p>
        </w:tc>
      </w:tr>
      <w:tr w:rsidR="00AA043C" w:rsidRPr="00641B0B" w14:paraId="74FD4297" w14:textId="77777777" w:rsidTr="00641B0B">
        <w:tc>
          <w:tcPr>
            <w:tcW w:w="9067" w:type="dxa"/>
            <w:gridSpan w:val="7"/>
            <w:shd w:val="clear" w:color="auto" w:fill="92D050"/>
          </w:tcPr>
          <w:p w14:paraId="7010E4B4" w14:textId="3F6F1E5A" w:rsidR="00AA043C" w:rsidRPr="00641B0B" w:rsidRDefault="00AA043C" w:rsidP="00641B0B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41B0B">
              <w:rPr>
                <w:rFonts w:cstheme="minorHAnsi"/>
                <w:b/>
                <w:sz w:val="24"/>
                <w:szCs w:val="24"/>
              </w:rPr>
              <w:t>RYZYKA DLA WYKONANIA ZAŁOŻONYCH WARTOŚCI WSKAŹNIKÓW</w:t>
            </w:r>
          </w:p>
          <w:p w14:paraId="5322B16B" w14:textId="77777777" w:rsidR="00AA043C" w:rsidRPr="00641B0B" w:rsidRDefault="00AA043C" w:rsidP="00641B0B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641B0B">
              <w:rPr>
                <w:rFonts w:cstheme="minorHAnsi"/>
                <w:i/>
                <w:color w:val="404040" w:themeColor="text1" w:themeTint="BF"/>
                <w:szCs w:val="24"/>
              </w:rPr>
              <w:lastRenderedPageBreak/>
              <w:t xml:space="preserve">Czy występują jakieś </w:t>
            </w:r>
            <w:r w:rsidR="00091A31" w:rsidRPr="00641B0B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641B0B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641B0B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641B0B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641B0B" w14:paraId="068C0CFF" w14:textId="77777777" w:rsidTr="00641B0B">
        <w:tc>
          <w:tcPr>
            <w:tcW w:w="9067" w:type="dxa"/>
            <w:gridSpan w:val="7"/>
          </w:tcPr>
          <w:p w14:paraId="50F29D5E" w14:textId="06BA3145" w:rsidR="00091A31" w:rsidRPr="00641B0B" w:rsidRDefault="00F02EAD" w:rsidP="00641B0B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lastRenderedPageBreak/>
              <w:t xml:space="preserve">Inwestycja jest zrealizowana w 60%. </w:t>
            </w:r>
            <w:r w:rsidR="002D37DA" w:rsidRPr="00641B0B">
              <w:rPr>
                <w:rFonts w:cstheme="minorHAnsi"/>
                <w:sz w:val="24"/>
                <w:szCs w:val="24"/>
              </w:rPr>
              <w:t xml:space="preserve">Problemy na etapie </w:t>
            </w:r>
            <w:r w:rsidR="001C0B49" w:rsidRPr="00641B0B">
              <w:rPr>
                <w:rFonts w:cstheme="minorHAnsi"/>
                <w:sz w:val="24"/>
                <w:szCs w:val="24"/>
              </w:rPr>
              <w:t>realizacji projektu były niewielkie. Nie występują zagrożenia dla wykonania prognozowa</w:t>
            </w:r>
            <w:r w:rsidR="00641B0B">
              <w:rPr>
                <w:rFonts w:cstheme="minorHAnsi"/>
                <w:sz w:val="24"/>
                <w:szCs w:val="24"/>
              </w:rPr>
              <w:t>nych wartości wskaźników oraz z </w:t>
            </w:r>
            <w:r w:rsidR="001C0B49" w:rsidRPr="00641B0B">
              <w:rPr>
                <w:rFonts w:cstheme="minorHAnsi"/>
                <w:sz w:val="24"/>
                <w:szCs w:val="24"/>
              </w:rPr>
              <w:t xml:space="preserve">terminowością realizacji projektu. Jedynie wpływ na terminowość może mieć nieprzewidywalność warunków pogodowych, przedłużająca się zima może wpłynąć na wydłużenie etapu </w:t>
            </w:r>
            <w:proofErr w:type="spellStart"/>
            <w:r w:rsidR="001C0B49" w:rsidRPr="00641B0B">
              <w:rPr>
                <w:rFonts w:cstheme="minorHAnsi"/>
                <w:sz w:val="24"/>
                <w:szCs w:val="24"/>
              </w:rPr>
              <w:t>nasadzeń</w:t>
            </w:r>
            <w:proofErr w:type="spellEnd"/>
            <w:r w:rsidR="001C0B49" w:rsidRPr="00641B0B">
              <w:rPr>
                <w:rFonts w:cstheme="minorHAnsi"/>
                <w:sz w:val="24"/>
                <w:szCs w:val="24"/>
              </w:rPr>
              <w:t xml:space="preserve"> roślinności. </w:t>
            </w:r>
          </w:p>
        </w:tc>
      </w:tr>
      <w:tr w:rsidR="00AA043C" w:rsidRPr="00641B0B" w14:paraId="09A8FFC6" w14:textId="77777777" w:rsidTr="00641B0B">
        <w:tc>
          <w:tcPr>
            <w:tcW w:w="9067" w:type="dxa"/>
            <w:gridSpan w:val="7"/>
            <w:shd w:val="clear" w:color="auto" w:fill="92D050"/>
          </w:tcPr>
          <w:p w14:paraId="17AC8C87" w14:textId="77777777" w:rsidR="00060844" w:rsidRPr="004D28D0" w:rsidRDefault="00060844" w:rsidP="00060844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14:paraId="5197D4DC" w14:textId="77777777" w:rsidR="00060844" w:rsidRDefault="00060844" w:rsidP="00060844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14:paraId="568D66AE" w14:textId="18EEEF81" w:rsidR="00AA043C" w:rsidRPr="00641B0B" w:rsidRDefault="00060844" w:rsidP="00641B0B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5B781B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5B781B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5B781B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5B781B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641B0B" w14:paraId="282A6326" w14:textId="77777777" w:rsidTr="00641B0B">
        <w:tc>
          <w:tcPr>
            <w:tcW w:w="9067" w:type="dxa"/>
            <w:gridSpan w:val="7"/>
          </w:tcPr>
          <w:p w14:paraId="49F9E63C" w14:textId="77777777" w:rsidR="00091A31" w:rsidRDefault="00E13906" w:rsidP="00641B0B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t xml:space="preserve">Nie było problemu z interpretacją definicji wskaźników. </w:t>
            </w:r>
          </w:p>
          <w:p w14:paraId="42007F8F" w14:textId="79B3D6A4" w:rsidR="0051784C" w:rsidRPr="00641B0B" w:rsidRDefault="0051784C" w:rsidP="0051784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1784C">
              <w:rPr>
                <w:rFonts w:cstheme="minorHAnsi"/>
                <w:sz w:val="24"/>
                <w:szCs w:val="24"/>
              </w:rPr>
              <w:t>Projekt wybrany do dofinansowania w trybie konkursowym. Tryb wyboru był adekwatny. Nie zidentyfikowano potencjalnych zagrożeń, związanych z trybem wyboru, które miały negatywny wpływ na realizację projektu lub  wykonanie wartości wskaźników określonych w II osi priorytetowej POIiŚ 2014-2020.</w:t>
            </w:r>
          </w:p>
        </w:tc>
      </w:tr>
      <w:tr w:rsidR="00191972" w:rsidRPr="00641B0B" w14:paraId="0619D3D9" w14:textId="77777777" w:rsidTr="00641B0B">
        <w:tc>
          <w:tcPr>
            <w:tcW w:w="9067" w:type="dxa"/>
            <w:gridSpan w:val="7"/>
            <w:shd w:val="clear" w:color="auto" w:fill="92D050"/>
          </w:tcPr>
          <w:p w14:paraId="5EA156A0" w14:textId="7E5F3302" w:rsidR="00191972" w:rsidRPr="00641B0B" w:rsidRDefault="00191972" w:rsidP="00641B0B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41B0B">
              <w:rPr>
                <w:rFonts w:cstheme="minorHAnsi"/>
                <w:b/>
                <w:sz w:val="24"/>
                <w:szCs w:val="24"/>
              </w:rPr>
              <w:t>WPŁYW PROJEKTU NA REALIZACJĘ PRIORYT</w:t>
            </w:r>
            <w:r w:rsidR="00641B0B">
              <w:rPr>
                <w:rFonts w:cstheme="minorHAnsi"/>
                <w:b/>
                <w:sz w:val="24"/>
                <w:szCs w:val="24"/>
              </w:rPr>
              <w:t>ETÓW ROZWOJOWYCH OKREŚLONYCH W </w:t>
            </w:r>
            <w:r w:rsidRPr="00641B0B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14:paraId="6E852CF0" w14:textId="7C406CCA" w:rsidR="00191972" w:rsidRPr="00641B0B" w:rsidRDefault="00191972" w:rsidP="00641B0B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641B0B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641B0B" w14:paraId="2B07B179" w14:textId="77777777" w:rsidTr="00641B0B">
        <w:tc>
          <w:tcPr>
            <w:tcW w:w="9067" w:type="dxa"/>
            <w:gridSpan w:val="7"/>
            <w:shd w:val="clear" w:color="auto" w:fill="auto"/>
          </w:tcPr>
          <w:p w14:paraId="4D625609" w14:textId="0ED3164A" w:rsidR="00A726D1" w:rsidRPr="00641B0B" w:rsidRDefault="00A726D1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t>Projekt poprzez przywrócenie zdegradowanym, zanieczyszczonym terenom poprzemysłowym w Bytomiu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funkcji środowiskowych, a także rekreacyjnych działa na rzecz stymulowania zrównoważonego rozwoju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obszarów miejskich</w:t>
            </w:r>
            <w:r w:rsidR="00C33A57">
              <w:rPr>
                <w:rFonts w:cstheme="minorHAnsi"/>
                <w:sz w:val="24"/>
                <w:szCs w:val="24"/>
              </w:rPr>
              <w:t>,</w:t>
            </w:r>
            <w:r w:rsidRPr="00641B0B">
              <w:rPr>
                <w:rFonts w:cstheme="minorHAnsi"/>
                <w:sz w:val="24"/>
                <w:szCs w:val="24"/>
              </w:rPr>
              <w:t xml:space="preserve"> co jest głównym celem polityki spójności na lata 2014–2020.</w:t>
            </w:r>
          </w:p>
          <w:p w14:paraId="58AE2E2B" w14:textId="699ACACF" w:rsidR="00A726D1" w:rsidRPr="00641B0B" w:rsidRDefault="00A726D1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t>Założenia projektu realizują Komunikat Komisji z dnia 22 września 2006 r. „Strategia tematyczna w dziedzinie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ochrony gleby” w zakresie jego celu, tj. zapewnienia zrównoważonego użytkowania gleby.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 xml:space="preserve">Inwestycja wpływać będzie pozytywnie na zahamowanie zmian klimatu, poprzez dokonanie </w:t>
            </w:r>
            <w:proofErr w:type="spellStart"/>
            <w:r w:rsidRPr="00641B0B">
              <w:rPr>
                <w:rFonts w:cstheme="minorHAnsi"/>
                <w:sz w:val="24"/>
                <w:szCs w:val="24"/>
              </w:rPr>
              <w:t>nasadzeń</w:t>
            </w:r>
            <w:proofErr w:type="spellEnd"/>
            <w:r w:rsidRPr="00641B0B">
              <w:rPr>
                <w:rFonts w:cstheme="minorHAnsi"/>
                <w:sz w:val="24"/>
                <w:szCs w:val="24"/>
              </w:rPr>
              <w:t xml:space="preserve"> zieleni,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powodującej zmniejszenie się ilości CO</w:t>
            </w:r>
            <w:r w:rsidRPr="00641B0B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641B0B">
              <w:rPr>
                <w:rFonts w:cstheme="minorHAnsi"/>
                <w:sz w:val="24"/>
                <w:szCs w:val="24"/>
              </w:rPr>
              <w:t xml:space="preserve"> w atmosferze.</w:t>
            </w:r>
          </w:p>
          <w:p w14:paraId="72A06A8E" w14:textId="738B679F" w:rsidR="00A726D1" w:rsidRPr="00641B0B" w:rsidRDefault="00A726D1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t>Projekt realizuje pośrednio zapisy Strategii Rozwoju Po</w:t>
            </w:r>
            <w:r w:rsidR="00641B0B">
              <w:rPr>
                <w:rFonts w:cstheme="minorHAnsi"/>
                <w:sz w:val="24"/>
                <w:szCs w:val="24"/>
              </w:rPr>
              <w:t>lski Południowej do roku 2020 w </w:t>
            </w:r>
            <w:r w:rsidRPr="00641B0B">
              <w:rPr>
                <w:rFonts w:cstheme="minorHAnsi"/>
                <w:sz w:val="24"/>
                <w:szCs w:val="24"/>
              </w:rPr>
              <w:t>zakresie celu II –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Polska południowa przestrzenią partnerskiej współpracy na rzecz efektywnego wykorzystania możliwości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rozwojowych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7B1885F8" w14:textId="7047AE9F" w:rsidR="00A726D1" w:rsidRPr="00641B0B" w:rsidRDefault="00A726D1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lastRenderedPageBreak/>
              <w:t>Projekt na poziomie celów jest w szczególności komplementarny z projektem przygotowywanym w ramach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 xml:space="preserve">Kontraktu terytorialnego województwa śląskiego pn. Zagłębiowski Park Linearny </w:t>
            </w:r>
            <w:r w:rsidR="00C33A57">
              <w:rPr>
                <w:rFonts w:cstheme="minorHAnsi"/>
                <w:sz w:val="24"/>
                <w:szCs w:val="24"/>
              </w:rPr>
              <w:t>–</w:t>
            </w:r>
            <w:r w:rsidRPr="00641B0B">
              <w:rPr>
                <w:rFonts w:cstheme="minorHAnsi"/>
                <w:sz w:val="24"/>
                <w:szCs w:val="24"/>
              </w:rPr>
              <w:t xml:space="preserve"> rewitalizacja obszaru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funkcjonalnego rzek Przemszy i Brynicy, którego celem jest zmiana wizerunku poprzemysłowego obszaru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="00641B0B">
              <w:rPr>
                <w:rFonts w:cstheme="minorHAnsi"/>
                <w:sz w:val="24"/>
                <w:szCs w:val="24"/>
              </w:rPr>
              <w:t>Zagłębia Dąbrowskiego, a </w:t>
            </w:r>
            <w:r w:rsidRPr="00641B0B">
              <w:rPr>
                <w:rFonts w:cstheme="minorHAnsi"/>
                <w:sz w:val="24"/>
                <w:szCs w:val="24"/>
              </w:rPr>
              <w:t>przez to podobnie jak wnioskowany projekt, poprzemysłowego wizerunku regionu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śląskiego, poprzez kompleksową rekonstrukcję obszarów zielonych Doliny Przemszy (Białej Przemszy) i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Brynicy, rzek na granicy województw śląskiego i małopolskiego, w dorzeczu rzeki Wisły.</w:t>
            </w:r>
          </w:p>
          <w:p w14:paraId="764E0AF8" w14:textId="0A2CB365" w:rsidR="00A726D1" w:rsidRPr="00641B0B" w:rsidRDefault="00A726D1" w:rsidP="00641B0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41B0B">
              <w:rPr>
                <w:rFonts w:cstheme="minorHAnsi"/>
                <w:sz w:val="24"/>
                <w:szCs w:val="24"/>
              </w:rPr>
              <w:t>Projekt realizuje zapisy Strategii dla Regionu Morza Bałtyckiego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w zakresie z</w:t>
            </w:r>
            <w:r w:rsidRPr="00641B0B">
              <w:rPr>
                <w:rFonts w:cstheme="minorHAnsi"/>
                <w:sz w:val="24"/>
                <w:szCs w:val="24"/>
              </w:rPr>
              <w:t>większeni</w:t>
            </w:r>
            <w:r w:rsidR="00B3527A" w:rsidRPr="00641B0B">
              <w:rPr>
                <w:rFonts w:cstheme="minorHAnsi"/>
                <w:sz w:val="24"/>
                <w:szCs w:val="24"/>
              </w:rPr>
              <w:t>a</w:t>
            </w:r>
            <w:r w:rsidRPr="00641B0B">
              <w:rPr>
                <w:rFonts w:cstheme="minorHAnsi"/>
                <w:sz w:val="24"/>
                <w:szCs w:val="24"/>
              </w:rPr>
              <w:t xml:space="preserve"> dobrobytu oraz udział w realizacji Strategii Europa 2020, m.in. w zakresie zrównoważonego rozwoju, ochrony</w:t>
            </w:r>
            <w:r w:rsidR="00B3527A" w:rsidRPr="00641B0B">
              <w:rPr>
                <w:rFonts w:cstheme="minorHAnsi"/>
                <w:sz w:val="24"/>
                <w:szCs w:val="24"/>
              </w:rPr>
              <w:t xml:space="preserve"> </w:t>
            </w:r>
            <w:r w:rsidRPr="00641B0B">
              <w:rPr>
                <w:rFonts w:cstheme="minorHAnsi"/>
                <w:sz w:val="24"/>
                <w:szCs w:val="24"/>
              </w:rPr>
              <w:t>środowiska i zmian klimatycznych</w:t>
            </w:r>
            <w:r w:rsidR="00B3527A" w:rsidRPr="00641B0B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104E2" w:rsidRPr="00641B0B" w14:paraId="72C3CED8" w14:textId="77777777" w:rsidTr="00C83D00">
        <w:tc>
          <w:tcPr>
            <w:tcW w:w="9067" w:type="dxa"/>
            <w:gridSpan w:val="7"/>
            <w:shd w:val="clear" w:color="auto" w:fill="92D050"/>
          </w:tcPr>
          <w:p w14:paraId="1306DB90" w14:textId="77777777" w:rsidR="005104E2" w:rsidRPr="00641B0B" w:rsidRDefault="005104E2" w:rsidP="00641B0B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641B0B">
              <w:rPr>
                <w:rFonts w:cstheme="minorHAnsi"/>
                <w:b/>
                <w:sz w:val="24"/>
                <w:szCs w:val="24"/>
              </w:rPr>
              <w:lastRenderedPageBreak/>
              <w:t>WKŁAD W REALIZACJĘ ZOBOWIĄZAŃ AKCESYJNYCH PRZEZ POLSKĘ</w:t>
            </w:r>
          </w:p>
          <w:p w14:paraId="0921DA63" w14:textId="4913E43D" w:rsidR="005104E2" w:rsidRPr="00641B0B" w:rsidRDefault="005104E2" w:rsidP="00641B0B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641B0B">
              <w:rPr>
                <w:rFonts w:cstheme="minorHAnsi"/>
                <w:i/>
                <w:color w:val="404040" w:themeColor="text1" w:themeTint="BF"/>
                <w:szCs w:val="24"/>
              </w:rPr>
              <w:t xml:space="preserve">W jaki sposób projekt przyczynia się do realizacji zobowiązań akcesyjnych oraz wymogów wynikających </w:t>
            </w:r>
            <w:r w:rsidR="00360364">
              <w:rPr>
                <w:rFonts w:cstheme="minorHAnsi"/>
                <w:i/>
                <w:color w:val="404040" w:themeColor="text1" w:themeTint="BF"/>
                <w:szCs w:val="24"/>
              </w:rPr>
              <w:t xml:space="preserve">z </w:t>
            </w:r>
            <w:r w:rsidRPr="00641B0B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641B0B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5104E2" w:rsidRPr="00641B0B" w14:paraId="639065CD" w14:textId="77777777" w:rsidTr="00C83D00">
        <w:tc>
          <w:tcPr>
            <w:tcW w:w="9067" w:type="dxa"/>
            <w:gridSpan w:val="7"/>
          </w:tcPr>
          <w:p w14:paraId="34C77997" w14:textId="0902F18B" w:rsidR="005104E2" w:rsidRPr="00641B0B" w:rsidRDefault="00C83D00" w:rsidP="00641B0B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Brak </w:t>
            </w:r>
            <w:r w:rsidR="00393CDE">
              <w:rPr>
                <w:rFonts w:cstheme="minorHAnsi"/>
                <w:sz w:val="24"/>
                <w:szCs w:val="24"/>
              </w:rPr>
              <w:t>wpływu</w:t>
            </w:r>
            <w:r>
              <w:rPr>
                <w:rFonts w:cstheme="minorHAnsi"/>
                <w:sz w:val="24"/>
                <w:szCs w:val="24"/>
              </w:rPr>
              <w:t xml:space="preserve"> na realizację kluczowych zobowiązań akcesyjnych.</w:t>
            </w:r>
          </w:p>
        </w:tc>
      </w:tr>
      <w:tr w:rsidR="00060844" w:rsidRPr="004D28D0" w14:paraId="61E1FDCF" w14:textId="77777777" w:rsidTr="005B781B">
        <w:tc>
          <w:tcPr>
            <w:tcW w:w="9067" w:type="dxa"/>
            <w:gridSpan w:val="7"/>
            <w:shd w:val="clear" w:color="auto" w:fill="92D050"/>
          </w:tcPr>
          <w:p w14:paraId="65833956" w14:textId="77777777" w:rsidR="00060844" w:rsidRPr="005B781B" w:rsidRDefault="00060844" w:rsidP="005B781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B781B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14:paraId="763B741A" w14:textId="324AC7CF" w:rsidR="00060844" w:rsidRPr="005B781B" w:rsidRDefault="00060844" w:rsidP="005B781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5B781B">
              <w:rPr>
                <w:rFonts w:cstheme="minorHAnsi"/>
                <w:i/>
              </w:rPr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</w:t>
            </w:r>
            <w:r w:rsidR="006430C5">
              <w:rPr>
                <w:rFonts w:cstheme="minorHAnsi"/>
                <w:i/>
              </w:rPr>
              <w:t>charakterze</w:t>
            </w:r>
            <w:r w:rsidRPr="005B781B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060844" w:rsidRPr="004D28D0" w14:paraId="72D5335A" w14:textId="77777777" w:rsidTr="005B781B">
        <w:tc>
          <w:tcPr>
            <w:tcW w:w="9067" w:type="dxa"/>
            <w:gridSpan w:val="7"/>
          </w:tcPr>
          <w:p w14:paraId="35D2CB7C" w14:textId="06647745" w:rsidR="00060844" w:rsidRPr="004D28D0" w:rsidRDefault="00060844" w:rsidP="005B781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 nie przewiduje po roku 2018 realizacji nowych projektów wpisujących się w</w:t>
            </w:r>
            <w:r w:rsidR="006777AD">
              <w:rPr>
                <w:rFonts w:cstheme="minorHAnsi"/>
                <w:sz w:val="24"/>
                <w:szCs w:val="24"/>
              </w:rPr>
              <w:t> </w:t>
            </w:r>
            <w:r>
              <w:rPr>
                <w:rFonts w:cstheme="minorHAnsi"/>
                <w:sz w:val="24"/>
                <w:szCs w:val="24"/>
              </w:rPr>
              <w:t xml:space="preserve">założenia II osi priorytetowej POIiŚ 2014-2020.  </w:t>
            </w:r>
          </w:p>
        </w:tc>
      </w:tr>
    </w:tbl>
    <w:p w14:paraId="359E6268" w14:textId="4D66B5CB" w:rsidR="005104E2" w:rsidRDefault="005104E2" w:rsidP="005104E2">
      <w:pPr>
        <w:spacing w:line="276" w:lineRule="auto"/>
        <w:rPr>
          <w:rFonts w:cstheme="minorHAnsi"/>
          <w:sz w:val="24"/>
          <w:szCs w:val="24"/>
        </w:rPr>
      </w:pPr>
    </w:p>
    <w:p w14:paraId="78590F46" w14:textId="77777777" w:rsidR="003B6410" w:rsidRDefault="003B6410" w:rsidP="005104E2">
      <w:pPr>
        <w:spacing w:line="276" w:lineRule="auto"/>
        <w:rPr>
          <w:rFonts w:cstheme="minorHAnsi"/>
          <w:sz w:val="24"/>
          <w:szCs w:val="24"/>
        </w:rPr>
      </w:pPr>
    </w:p>
    <w:sectPr w:rsidR="003B6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D894" w14:textId="77777777" w:rsidR="00D6680B" w:rsidRDefault="00D6680B" w:rsidP="00F13819">
      <w:pPr>
        <w:spacing w:after="0" w:line="240" w:lineRule="auto"/>
      </w:pPr>
      <w:r>
        <w:separator/>
      </w:r>
    </w:p>
  </w:endnote>
  <w:endnote w:type="continuationSeparator" w:id="0">
    <w:p w14:paraId="4F0A1E50" w14:textId="77777777" w:rsidR="00D6680B" w:rsidRDefault="00D6680B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AC47B" w14:textId="77777777" w:rsidR="00D6680B" w:rsidRDefault="00D6680B" w:rsidP="00F13819">
      <w:pPr>
        <w:spacing w:after="0" w:line="240" w:lineRule="auto"/>
      </w:pPr>
      <w:r>
        <w:separator/>
      </w:r>
    </w:p>
  </w:footnote>
  <w:footnote w:type="continuationSeparator" w:id="0">
    <w:p w14:paraId="2BF86666" w14:textId="77777777" w:rsidR="00D6680B" w:rsidRDefault="00D6680B" w:rsidP="00F13819">
      <w:pPr>
        <w:spacing w:after="0" w:line="240" w:lineRule="auto"/>
      </w:pPr>
      <w:r>
        <w:continuationSeparator/>
      </w:r>
    </w:p>
  </w:footnote>
  <w:footnote w:id="1">
    <w:p w14:paraId="664A3501" w14:textId="77777777" w:rsidR="00060844" w:rsidRDefault="00060844" w:rsidP="000608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781B">
        <w:rPr>
          <w:sz w:val="18"/>
          <w:szCs w:val="18"/>
        </w:rPr>
        <w:t>Na podstawie zatwierdzonych do 31.12.2018 wniosków o płatność.</w:t>
      </w:r>
    </w:p>
  </w:footnote>
  <w:footnote w:id="2">
    <w:p w14:paraId="76663D1D" w14:textId="52101CA4" w:rsidR="00FE35D5" w:rsidRDefault="00FE35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44E0D">
        <w:t>Wartość wskazana w SL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5C2"/>
    <w:rsid w:val="000001B4"/>
    <w:rsid w:val="00012C24"/>
    <w:rsid w:val="00033179"/>
    <w:rsid w:val="000376AA"/>
    <w:rsid w:val="00044E0D"/>
    <w:rsid w:val="00060844"/>
    <w:rsid w:val="00064284"/>
    <w:rsid w:val="0006582A"/>
    <w:rsid w:val="00065B52"/>
    <w:rsid w:val="00091A31"/>
    <w:rsid w:val="000942E2"/>
    <w:rsid w:val="000D0199"/>
    <w:rsid w:val="001126E4"/>
    <w:rsid w:val="00191972"/>
    <w:rsid w:val="001C0B49"/>
    <w:rsid w:val="002045C2"/>
    <w:rsid w:val="00210123"/>
    <w:rsid w:val="00234F7D"/>
    <w:rsid w:val="00256D19"/>
    <w:rsid w:val="00274519"/>
    <w:rsid w:val="002B7A54"/>
    <w:rsid w:val="002C49C2"/>
    <w:rsid w:val="002D2B32"/>
    <w:rsid w:val="002D37DA"/>
    <w:rsid w:val="002F038B"/>
    <w:rsid w:val="00302BEF"/>
    <w:rsid w:val="00354C1E"/>
    <w:rsid w:val="00360364"/>
    <w:rsid w:val="00393CDE"/>
    <w:rsid w:val="003B3124"/>
    <w:rsid w:val="003B6410"/>
    <w:rsid w:val="00413FBB"/>
    <w:rsid w:val="00487486"/>
    <w:rsid w:val="0049000C"/>
    <w:rsid w:val="005104E2"/>
    <w:rsid w:val="0051784C"/>
    <w:rsid w:val="005B51CB"/>
    <w:rsid w:val="005B6593"/>
    <w:rsid w:val="005B7279"/>
    <w:rsid w:val="005F29CC"/>
    <w:rsid w:val="00641B0B"/>
    <w:rsid w:val="006430C5"/>
    <w:rsid w:val="0064727A"/>
    <w:rsid w:val="006777AD"/>
    <w:rsid w:val="006827BA"/>
    <w:rsid w:val="006E223B"/>
    <w:rsid w:val="00732556"/>
    <w:rsid w:val="00743C42"/>
    <w:rsid w:val="00745AE0"/>
    <w:rsid w:val="007800FD"/>
    <w:rsid w:val="0078643C"/>
    <w:rsid w:val="00793A28"/>
    <w:rsid w:val="007D422E"/>
    <w:rsid w:val="007E4BD2"/>
    <w:rsid w:val="008036F3"/>
    <w:rsid w:val="0081186D"/>
    <w:rsid w:val="008159A7"/>
    <w:rsid w:val="00847684"/>
    <w:rsid w:val="008627BE"/>
    <w:rsid w:val="008917F2"/>
    <w:rsid w:val="00895A95"/>
    <w:rsid w:val="008A278F"/>
    <w:rsid w:val="008C6750"/>
    <w:rsid w:val="008D6DDF"/>
    <w:rsid w:val="00963680"/>
    <w:rsid w:val="00965944"/>
    <w:rsid w:val="009836D5"/>
    <w:rsid w:val="009B30BA"/>
    <w:rsid w:val="009F36E2"/>
    <w:rsid w:val="00A3709E"/>
    <w:rsid w:val="00A4299A"/>
    <w:rsid w:val="00A46D94"/>
    <w:rsid w:val="00A726D1"/>
    <w:rsid w:val="00A72FD5"/>
    <w:rsid w:val="00A7448B"/>
    <w:rsid w:val="00A80692"/>
    <w:rsid w:val="00AA043C"/>
    <w:rsid w:val="00AE6BFF"/>
    <w:rsid w:val="00B3527A"/>
    <w:rsid w:val="00B36182"/>
    <w:rsid w:val="00B52432"/>
    <w:rsid w:val="00B72732"/>
    <w:rsid w:val="00BE2986"/>
    <w:rsid w:val="00C020CE"/>
    <w:rsid w:val="00C33A57"/>
    <w:rsid w:val="00C50D1B"/>
    <w:rsid w:val="00C60EAB"/>
    <w:rsid w:val="00C76D6A"/>
    <w:rsid w:val="00C83D00"/>
    <w:rsid w:val="00C900CA"/>
    <w:rsid w:val="00CD51BC"/>
    <w:rsid w:val="00CE25BF"/>
    <w:rsid w:val="00D6680B"/>
    <w:rsid w:val="00DA70D7"/>
    <w:rsid w:val="00DF2BE6"/>
    <w:rsid w:val="00E13906"/>
    <w:rsid w:val="00EA1187"/>
    <w:rsid w:val="00ED5761"/>
    <w:rsid w:val="00EF4BE3"/>
    <w:rsid w:val="00F02EAD"/>
    <w:rsid w:val="00F12D9E"/>
    <w:rsid w:val="00F13819"/>
    <w:rsid w:val="00F30B36"/>
    <w:rsid w:val="00F430C9"/>
    <w:rsid w:val="00F55454"/>
    <w:rsid w:val="00FB4564"/>
    <w:rsid w:val="00FC73B9"/>
    <w:rsid w:val="00FE240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C02A"/>
  <w15:chartTrackingRefBased/>
  <w15:docId w15:val="{6FE551C2-410D-40D0-8CCF-15F8417E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E0D84-E6B8-44FF-89FA-6EB3ECEB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1586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6</cp:revision>
  <dcterms:created xsi:type="dcterms:W3CDTF">2019-02-22T12:14:00Z</dcterms:created>
  <dcterms:modified xsi:type="dcterms:W3CDTF">2019-02-27T13:49:00Z</dcterms:modified>
</cp:coreProperties>
</file>